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right"/>
        <w:rPr>
          <w:rFonts w:ascii="Times New Roman" w:hAnsi="Times New Roman"/>
          <w:b w:val="1"/>
          <w:bCs w:val="1"/>
          <w:sz w:val="28"/>
          <w:szCs w:val="28"/>
          <w:rtl w:val="0"/>
        </w:rPr>
      </w:pP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Список обязательной литературы для летнего чтения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center"/>
        <w:rPr>
          <w:rFonts w:ascii="Times New Roman" w:cs="Times New Roman" w:hAnsi="Times New Roman" w:eastAsia="Times New Roman"/>
          <w:sz w:val="28"/>
          <w:szCs w:val="28"/>
          <w:rtl w:val="0"/>
        </w:rPr>
      </w:pP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 xml:space="preserve">перед </w:t>
      </w:r>
      <w:r>
        <w:rPr>
          <w:rFonts w:ascii="Times New Roman" w:hAnsi="Times New Roman"/>
          <w:sz w:val="28"/>
          <w:szCs w:val="28"/>
          <w:rtl w:val="0"/>
        </w:rPr>
        <w:t xml:space="preserve">11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классом</w:t>
      </w:r>
      <w:r>
        <w:rPr>
          <w:rFonts w:ascii="Times New Roman" w:hAnsi="Times New Roman"/>
          <w:sz w:val="28"/>
          <w:szCs w:val="28"/>
          <w:rtl w:val="0"/>
        </w:rPr>
        <w:t>)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18"/>
          <w:szCs w:val="18"/>
          <w:rtl w:val="0"/>
        </w:rPr>
      </w:pP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Блок «Стихи о Прекрасной Даме»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поэма «Двенадцать»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С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 xml:space="preserve">А 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Есенин «Черный человек»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«Анна Снегина»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Горький «Старуха Изергиль»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«Челкаш»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«Песня о Буревестнике»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«На дне»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  <w:lang w:val="ru-RU"/>
        </w:rPr>
      </w:pP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Бунин «Темные аллеи»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«Господин из Сан</w:t>
      </w:r>
      <w:r>
        <w:rPr>
          <w:rFonts w:ascii="Times New Roman" w:hAnsi="Times New Roman"/>
          <w:sz w:val="22"/>
          <w:szCs w:val="22"/>
          <w:rtl w:val="0"/>
        </w:rPr>
        <w:t>-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Франциско»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«Чистый понедельник»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Куприн «Поединок»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«Гранатовый браслет»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«Олеся»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Шолохов «Донские рассказы»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«Тихий Дон»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«Судьба человека»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Е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Замятин «Мы»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П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Платонов «Котлован»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Булгаков «Мастер и Маргарита»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Т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Твардовский «Василий Теркин»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«Я убит подо Ржевом»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Ахматова «Реквием»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Астафьев «Людочка»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Солженицын «Один день Ивана Денисовича» 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В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Г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Распутин «Живи и помни»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«В ту же землю»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Б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Л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Васильев «А зори здесь тихие…»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В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О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Пелевин «Желтая стрела»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«Хрустальный мир»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ru-RU"/>
        </w:rPr>
        <w:t>Записать в тетрадь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:</w:t>
      </w:r>
    </w:p>
    <w:p>
      <w:pPr>
        <w:pStyle w:val="Основной текст"/>
        <w:numPr>
          <w:ilvl w:val="0"/>
          <w:numId w:val="4"/>
        </w:numPr>
        <w:bidi w:val="0"/>
        <w:ind w:right="0"/>
        <w:jc w:val="both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автор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название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год написания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</w:rPr>
        <w:t>страна</w:t>
      </w:r>
      <w:r>
        <w:rPr>
          <w:rFonts w:ascii="Times New Roman" w:hAnsi="Times New Roman"/>
          <w:sz w:val="22"/>
          <w:szCs w:val="22"/>
          <w:rtl w:val="0"/>
        </w:rPr>
        <w:t xml:space="preserve">; </w:t>
      </w:r>
    </w:p>
    <w:p>
      <w:pPr>
        <w:pStyle w:val="Основной текст"/>
        <w:numPr>
          <w:ilvl w:val="0"/>
          <w:numId w:val="4"/>
        </w:numPr>
        <w:bidi w:val="0"/>
        <w:ind w:right="0"/>
        <w:jc w:val="both"/>
        <w:rPr>
          <w:rFonts w:ascii="Times New Roman" w:hAnsi="Times New Roman" w:hint="default"/>
          <w:sz w:val="22"/>
          <w:szCs w:val="22"/>
          <w:rtl w:val="0"/>
          <w:lang w:val="ru-RU"/>
        </w:rPr>
      </w:pPr>
      <w:r>
        <w:rPr>
          <w:rFonts w:ascii="Times New Roman" w:hAnsi="Times New Roman" w:hint="default"/>
          <w:sz w:val="22"/>
          <w:szCs w:val="22"/>
          <w:rtl w:val="0"/>
          <w:lang w:val="ru-RU"/>
        </w:rPr>
        <w:t>главные герои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их основные черты </w:t>
      </w:r>
      <w:r>
        <w:rPr>
          <w:rFonts w:ascii="Times New Roman" w:hAnsi="Times New Roman"/>
          <w:sz w:val="22"/>
          <w:szCs w:val="22"/>
          <w:rtl w:val="0"/>
        </w:rPr>
        <w:t>(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просто перечислить и уметь привести примеры поступков</w:t>
      </w:r>
      <w:r>
        <w:rPr>
          <w:rFonts w:ascii="Times New Roman" w:hAnsi="Times New Roman"/>
          <w:sz w:val="22"/>
          <w:szCs w:val="22"/>
          <w:rtl w:val="0"/>
        </w:rPr>
        <w:t xml:space="preserve">); </w:t>
      </w:r>
    </w:p>
    <w:p>
      <w:pPr>
        <w:pStyle w:val="Основной текст"/>
        <w:numPr>
          <w:ilvl w:val="0"/>
          <w:numId w:val="4"/>
        </w:numPr>
        <w:bidi w:val="0"/>
        <w:spacing w:line="360" w:lineRule="auto"/>
        <w:ind w:right="0"/>
        <w:jc w:val="both"/>
        <w:rPr>
          <w:rFonts w:ascii="Times New Roman" w:hAnsi="Times New Roman" w:hint="default"/>
          <w:sz w:val="22"/>
          <w:szCs w:val="22"/>
          <w:rtl w:val="0"/>
          <w:lang w:val="ru-RU"/>
        </w:rPr>
      </w:pP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сформулировать свое отношение к книге </w:t>
      </w:r>
      <w:r>
        <w:rPr>
          <w:rFonts w:ascii="Times New Roman" w:hAnsi="Times New Roman"/>
          <w:sz w:val="22"/>
          <w:szCs w:val="22"/>
          <w:rtl w:val="0"/>
        </w:rPr>
        <w:t>(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связный текст </w:t>
      </w:r>
      <w:r>
        <w:rPr>
          <w:rFonts w:ascii="Times New Roman" w:hAnsi="Times New Roman"/>
          <w:sz w:val="22"/>
          <w:szCs w:val="22"/>
          <w:rtl w:val="0"/>
        </w:rPr>
        <w:t xml:space="preserve">10-15 </w:t>
      </w:r>
      <w:r>
        <w:rPr>
          <w:rFonts w:ascii="Times New Roman" w:hAnsi="Times New Roman" w:hint="default"/>
          <w:sz w:val="22"/>
          <w:szCs w:val="22"/>
          <w:rtl w:val="0"/>
        </w:rPr>
        <w:t>предложений</w:t>
      </w:r>
      <w:r>
        <w:rPr>
          <w:rFonts w:ascii="Times New Roman" w:hAnsi="Times New Roman"/>
          <w:sz w:val="22"/>
          <w:szCs w:val="22"/>
          <w:rtl w:val="0"/>
        </w:rPr>
        <w:t>).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360" w:lineRule="auto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sz w:val="18"/>
          <w:szCs w:val="18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707" w:bottom="1134" w:left="1559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nothing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2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"/>
  </w:abstractNum>
  <w:abstractNum w:abstractNumId="3">
    <w:multiLevelType w:val="hybridMultilevel"/>
    <w:styleLink w:val="Пункт"/>
    <w:lvl w:ilvl="0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2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С числами">
    <w:name w:val="С числами"/>
    <w:pPr>
      <w:numPr>
        <w:numId w:val="1"/>
      </w:numPr>
    </w:pPr>
  </w:style>
  <w:style w:type="numbering" w:styleId="Пункт">
    <w:name w:val="Пункт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